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45.png" ContentType="image/png"/>
  <Override PartName="/word/media/rId40.png" ContentType="image/png"/>
  <Override PartName="/word/media/rId68.png" ContentType="image/png"/>
  <Override PartName="/word/media/rId63.png" ContentType="image/png"/>
  <Override PartName="/word/media/rId22.png" ContentType="image/png"/>
  <Override PartName="/word/media/rId30.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Osmerids including Current Delta Hydrologic Conditions</w:t>
      </w:r>
    </w:p>
    <w:p>
      <w:pPr>
        <w:pStyle w:val="Subtitle"/>
      </w:pPr>
      <w:r>
        <w:t xml:space="preserve">Final: Tuesday, January 20, 2026 at 3 PM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0" w:name="executive-summary"/>
    <w:p>
      <w:pPr>
        <w:pStyle w:val="Heading2"/>
      </w:pPr>
      <w:r>
        <w:t xml:space="preserve">Executive Summary</w:t>
      </w:r>
    </w:p>
    <w:p>
      <w:pPr>
        <w:pStyle w:val="Compact"/>
        <w:numPr>
          <w:ilvl w:val="0"/>
          <w:numId w:val="1001"/>
        </w:numPr>
      </w:pPr>
      <w:r>
        <w:t xml:space="preserve">Entrainment management is currently active.</w:t>
      </w:r>
    </w:p>
    <w:p>
      <w:pPr>
        <w:pStyle w:val="Compact"/>
        <w:numPr>
          <w:ilvl w:val="0"/>
          <w:numId w:val="1001"/>
        </w:numPr>
      </w:pPr>
      <w:r>
        <w:t xml:space="preserve">Delta smelt are primarily distributed west of the confluence, in Suisun Marsh</w:t>
      </w:r>
    </w:p>
    <w:p>
      <w:pPr>
        <w:pStyle w:val="Compact"/>
        <w:numPr>
          <w:ilvl w:val="0"/>
          <w:numId w:val="1001"/>
        </w:numPr>
      </w:pPr>
      <w:r>
        <w:t xml:space="preserve">No Delta smelt or longfin smelt salvage has been observed this water year</w:t>
      </w:r>
    </w:p>
    <w:p>
      <w:pPr>
        <w:pStyle w:val="Compact"/>
        <w:numPr>
          <w:ilvl w:val="0"/>
          <w:numId w:val="1001"/>
        </w:numPr>
      </w:pPr>
      <w:r>
        <w:t xml:space="preserve">Turbidity in the central/south Delta is moderate.</w:t>
      </w:r>
    </w:p>
    <w:p>
      <w:r>
        <w:br w:type="page"/>
      </w:r>
    </w:p>
    <w:bookmarkEnd w:id="20"/>
    <w:bookmarkStart w:id="35" w:name="current-delta-hydrologic-conditions"/>
    <w:p>
      <w:pPr>
        <w:pStyle w:val="Heading2"/>
      </w:pPr>
      <w:r>
        <w:t xml:space="preserve">1 Current Delta Hydrologic Conditions</w:t>
      </w:r>
    </w:p>
    <w:bookmarkStart w:id="21"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1"/>
    <w:bookmarkStart w:id="27" w:name="current-conditions"/>
    <w:p>
      <w:pPr>
        <w:pStyle w:val="Heading3"/>
      </w:pPr>
      <w:r>
        <w:t xml:space="preserve">1.2 Current Conditions</w:t>
      </w:r>
    </w:p>
    <w:p>
      <w:pPr>
        <w:pStyle w:val="FirstParagraph"/>
      </w:pPr>
      <w:r>
        <w:t xml:space="preserve">Most recent inflow at Freeport in the Sacramento River and Vernalis in the San Joaquin River is 40,775 and 2,488 cfs respectively. Most recent 1-day, 5-day, and 14-day OMRI measurements were -4,020, -4,019,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5" w:name="fig-triggers"/>
          <w:p>
            <w:pPr>
              <w:pStyle w:val="Compact"/>
              <w:jc w:val="center"/>
            </w:pPr>
            <w:r>
              <w:drawing>
                <wp:inline>
                  <wp:extent cx="5943600" cy="4622800"/>
                  <wp:effectExtent b="0" l="0" r="0" t="0"/>
                  <wp:docPr descr="" title="" id="23" name="Picture"/>
                  <a:graphic>
                    <a:graphicData uri="http://schemas.openxmlformats.org/drawingml/2006/picture">
                      <pic:pic>
                        <pic:nvPicPr>
                          <pic:cNvPr descr="combined_delta_smelt_files/figure-docx/fig-triggers-1.png" id="24" name="Picture"/>
                          <pic:cNvPicPr>
                            <a:picLocks noChangeArrowheads="1" noChangeAspect="1"/>
                          </pic:cNvPicPr>
                        </pic:nvPicPr>
                        <pic:blipFill>
                          <a:blip r:embed="rId22"/>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dashed lines in the OMRI plot indicate different triggers (see Table 1), with shading representing specific action periods. OMRI data (colored lines) calculated by SacPAS, Freeport (FPT) and Vernalis (VNS) flow data from CDEC, and CVP (TRP) and SWP (HRO) exports data from CDEC.</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2025-10-30</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2025-12-25</w:t>
                  </w:r>
                </w:p>
              </w:tc>
              <w:tc>
                <w:tcPr/>
                <w:p>
                  <w:pPr>
                    <w:pStyle w:val="Compact"/>
                    <w:jc w:val="right"/>
                    <w:jc w:val="center"/>
                  </w:pPr>
                  <w:r>
                    <w:t xml:space="preserve">14 days</w:t>
                  </w:r>
                </w:p>
              </w:tc>
              <w:tc>
                <w:tcPr/>
                <w:p>
                  <w:pPr>
                    <w:pStyle w:val="Compact"/>
                    <w:jc w:val="right"/>
                    <w:jc w:val="center"/>
                  </w:pPr>
                  <w:r>
                    <w:t xml:space="preserve">Entrainment Management</w:t>
                  </w:r>
                </w:p>
              </w:tc>
            </w:tr>
          </w:tbl>
          <w:bookmarkEnd w:id="26"/>
          <w:p/>
        </w:tc>
      </w:tr>
    </w:tbl>
    <w:bookmarkEnd w:id="27"/>
    <w:bookmarkStart w:id="34"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8">
        <w:r>
          <w:rPr>
            <w:rStyle w:val="Hyperlink"/>
          </w:rPr>
          <w:t xml:space="preserve">SacPAS</w:t>
        </w:r>
      </w:hyperlink>
      <w:r>
        <w:t xml:space="preserve">. Forecasted flows were queried from short range deterministic flows provided by the</w:t>
      </w:r>
      <w:r>
        <w:t xml:space="preserve"> </w:t>
      </w:r>
      <w:hyperlink r:id="rId29">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3" w:name="fig-zoi_graph"/>
          <w:p>
            <w:pPr>
              <w:pStyle w:val="Compact"/>
              <w:jc w:val="center"/>
            </w:pPr>
            <w:r>
              <w:drawing>
                <wp:inline>
                  <wp:extent cx="5943600" cy="2971800"/>
                  <wp:effectExtent b="0" l="0" r="0" t="0"/>
                  <wp:docPr descr="" title="" id="31" name="Picture"/>
                  <a:graphic>
                    <a:graphicData uri="http://schemas.openxmlformats.org/drawingml/2006/picture">
                      <pic:pic>
                        <pic:nvPicPr>
                          <pic:cNvPr descr="combined_delta_smelt_files/figure-docx/fig-zoi_graph-1.png" id="32" name="Picture"/>
                          <pic:cNvPicPr>
                            <a:picLocks noChangeArrowheads="1" noChangeAspect="1"/>
                          </pic:cNvPicPr>
                        </pic:nvPicPr>
                        <pic:blipFill>
                          <a:blip r:embed="rId30"/>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3"/>
        </w:tc>
      </w:tr>
    </w:tbl>
    <w:p>
      <w:r>
        <w:br w:type="page"/>
      </w:r>
    </w:p>
    <w:bookmarkEnd w:id="34"/>
    <w:bookmarkEnd w:id="35"/>
    <w:bookmarkStart w:id="81" w:name="X6826eb71b2e7ccf0cae7c428170c7924ae60314"/>
    <w:p>
      <w:pPr>
        <w:pStyle w:val="Heading2"/>
      </w:pPr>
      <w:r>
        <w:t xml:space="preserve">2 Weekly Assessment for Delta Operations on ESA and CESA-listed Osmerids</w:t>
      </w:r>
    </w:p>
    <w:bookmarkStart w:id="37" w:name="operational-and-regulatory-conditions-1"/>
    <w:p>
      <w:pPr>
        <w:pStyle w:val="Heading3"/>
      </w:pPr>
      <w:r>
        <w:t xml:space="preserve">2.1 Operational and Regulatory Conditions</w:t>
      </w:r>
    </w:p>
    <w:p>
      <w:pPr>
        <w:pStyle w:val="Compact"/>
        <w:numPr>
          <w:ilvl w:val="0"/>
          <w:numId w:val="1002"/>
        </w:numPr>
      </w:pPr>
      <w:r>
        <w:t xml:space="preserve">See current Weekly Fish and Water Operations Outlook document.</w:t>
      </w:r>
    </w:p>
    <w:p>
      <w:pPr>
        <w:pStyle w:val="Compact"/>
        <w:numPr>
          <w:ilvl w:val="0"/>
          <w:numId w:val="1002"/>
        </w:numPr>
      </w:pPr>
      <w:r>
        <w:t xml:space="preserve">Additional information also available on the</w:t>
      </w:r>
      <w:r>
        <w:t xml:space="preserve"> </w:t>
      </w:r>
      <w:hyperlink r:id="rId36">
        <w:r>
          <w:rPr>
            <w:rStyle w:val="Hyperlink"/>
          </w:rPr>
          <w:t xml:space="preserve">SacPAS SMT page</w:t>
        </w:r>
      </w:hyperlink>
      <w:r>
        <w:t xml:space="preserve">.</w:t>
      </w:r>
    </w:p>
    <w:bookmarkEnd w:id="37"/>
    <w:bookmarkStart w:id="61" w:name="delta-smelt"/>
    <w:p>
      <w:pPr>
        <w:pStyle w:val="Heading3"/>
      </w:pPr>
      <w:r>
        <w:t xml:space="preserve">2.2 Delta smelt</w:t>
      </w:r>
    </w:p>
    <w:bookmarkStart w:id="49" w:name="biological"/>
    <w:p>
      <w:pPr>
        <w:pStyle w:val="Heading4"/>
      </w:pPr>
      <w:r>
        <w:t xml:space="preserve">2.2.1 Biological</w:t>
      </w:r>
    </w:p>
    <w:p>
      <w:pPr>
        <w:numPr>
          <w:ilvl w:val="0"/>
          <w:numId w:val="1003"/>
        </w:numPr>
      </w:pPr>
      <w:r>
        <w:rPr>
          <w:b/>
          <w:bCs/>
        </w:rPr>
        <w:t xml:space="preserve">Delta smelt life stages:</w:t>
      </w:r>
      <w:r>
        <w:t xml:space="preserve"> </w:t>
      </w:r>
      <w:r>
        <w:t xml:space="preserve">Adult, Juvenile</w:t>
      </w:r>
    </w:p>
    <w:p>
      <w:pPr>
        <w:numPr>
          <w:ilvl w:val="0"/>
          <w:numId w:val="1003"/>
        </w:numPr>
      </w:pPr>
      <w:r>
        <w:rPr>
          <w:b/>
          <w:bCs/>
        </w:rPr>
        <w:t xml:space="preserve">Abundance estimate:</w:t>
      </w:r>
      <w:r>
        <w:t xml:space="preserve"> </w:t>
      </w:r>
      <w:r>
        <w:t xml:space="preserve">8963 (95% CL: 1,984 to 26,236) as of the week of January 5–9, 2026</w:t>
      </w:r>
    </w:p>
    <w:p>
      <w:pPr>
        <w:numPr>
          <w:ilvl w:val="0"/>
          <w:numId w:val="1003"/>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3"/>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2</w:t>
        </w:r>
      </w:hyperlink>
      <w:r>
        <w:t xml:space="preserve"> </w:t>
      </w:r>
      <w:r>
        <w:t xml:space="preserve">for recent detections,</w:t>
      </w:r>
      <w:r>
        <w:t xml:space="preserve"> </w:t>
      </w:r>
      <w:hyperlink w:anchor="fig-ds-map">
        <w:r>
          <w:rPr>
            <w:rStyle w:val="Hyperlink"/>
          </w:rPr>
          <w:t xml:space="preserve">Figure 3</w:t>
        </w:r>
      </w:hyperlink>
      <w:r>
        <w:t xml:space="preserve"> </w:t>
      </w:r>
      <w:r>
        <w:t xml:space="preserve">for spatial distribution, and</w:t>
      </w:r>
      <w:r>
        <w:t xml:space="preserve"> </w:t>
      </w:r>
      <w:hyperlink w:anchor="fig-ds-catch">
        <w:r>
          <w:rPr>
            <w:rStyle w:val="Hyperlink"/>
          </w:rPr>
          <w:t xml:space="preserve">Figure 4</w:t>
        </w:r>
      </w:hyperlink>
      <w:r>
        <w:t xml:space="preserve"> </w:t>
      </w:r>
      <w:r>
        <w:t xml:space="preserve">for temporal distribution.</w:t>
      </w:r>
    </w:p>
    <w:p>
      <w:pPr>
        <w:numPr>
          <w:ilvl w:val="0"/>
          <w:numId w:val="1003"/>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4"/>
        </w:numPr>
      </w:pPr>
      <w:r>
        <w:t xml:space="preserve">Since there are few recent detections of Delta smelt, estimation of distribution within the Delta is limited.</w:t>
      </w:r>
    </w:p>
    <w:p>
      <w:pPr>
        <w:pStyle w:val="Compact"/>
        <w:numPr>
          <w:ilvl w:val="0"/>
          <w:numId w:val="1004"/>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2</w:t>
        </w:r>
      </w:hyperlink>
      <w:r>
        <w:t xml:space="preserve"> </w:t>
      </w:r>
      <w:r>
        <w:t xml:space="preserve">caption for fork-length ranges for age groups of Delta smelt.</w:t>
      </w:r>
    </w:p>
    <w:p>
      <w:pPr>
        <w:pStyle w:val="Compact"/>
        <w:numPr>
          <w:ilvl w:val="0"/>
          <w:numId w:val="1004"/>
        </w:numPr>
      </w:pPr>
      <w:r>
        <w:t xml:space="preserve">See</w:t>
      </w:r>
      <w:r>
        <w:t xml:space="preserve"> </w:t>
      </w:r>
      <w:hyperlink r:id="rId36">
        <w:r>
          <w:rPr>
            <w:rStyle w:val="Hyperlink"/>
          </w:rPr>
          <w:t xml:space="preserve">SacPAS SMT Page</w:t>
        </w:r>
      </w:hyperlink>
      <w:r>
        <w:t xml:space="preserve"> </w:t>
      </w:r>
      <w:r>
        <w:t xml:space="preserve">for additional details on releases and detection in surveys and salvage.</w:t>
      </w:r>
    </w:p>
    <w:p>
      <w:pPr>
        <w:pStyle w:val="Compact"/>
        <w:numPr>
          <w:ilvl w:val="0"/>
          <w:numId w:val="1004"/>
        </w:numPr>
      </w:pPr>
      <w:r>
        <w:t xml:space="preserve">Historical salvage trends can be found at:</w:t>
      </w:r>
      <w:r>
        <w:t xml:space="preserve"> </w:t>
      </w:r>
      <w:hyperlink r:id="rId38">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39" w:name="tbl-ds-recent-catch"/>
          <w:p>
            <w:pPr>
              <w:jc w:val="center"/>
            </w:pPr>
            <w:pPr>
              <w:jc w:val="left"/>
              <w:spacing w:before="200"/>
              <w:pStyle w:val="ImageCaption"/>
            </w:pPr>
            <w:r>
              <w:t xml:space="preserve">Table 2: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39"/>
          <w:p/>
        </w:tc>
      </w:tr>
    </w:tbl>
    <w:tbl>
      <w:tblPr>
        <w:tblStyle w:val="Table"/>
        <w:tblW w:type="pct" w:w="5000"/>
        <w:tblLayout w:type="fixed"/>
        <w:tblLook w:firstRow="0" w:lastRow="0" w:firstColumn="0" w:lastColumn="0" w:noHBand="0" w:noVBand="0" w:val="0000"/>
      </w:tblPr>
      <w:tblGrid>
        <w:gridCol w:w="7920"/>
      </w:tblGrid>
      <w:tr>
        <w:tc>
          <w:tcPr/>
          <w:bookmarkStart w:id="43" w:name="fig-ds-map"/>
          <w:p>
            <w:pPr>
              <w:pStyle w:val="Compact"/>
              <w:jc w:val="center"/>
            </w:pPr>
            <w:r>
              <w:drawing>
                <wp:inline>
                  <wp:extent cx="5943600" cy="5200650"/>
                  <wp:effectExtent b="0" l="0" r="0" t="0"/>
                  <wp:docPr descr="" title="" id="41" name="Picture"/>
                  <a:graphic>
                    <a:graphicData uri="http://schemas.openxmlformats.org/drawingml/2006/picture">
                      <pic:pic>
                        <pic:nvPicPr>
                          <pic:cNvPr descr="combined_delta_smelt_files/figure-docx/fig-ds-map-1.png" id="42" name="Picture"/>
                          <pic:cNvPicPr>
                            <a:picLocks noChangeArrowheads="1" noChangeAspect="1"/>
                          </pic:cNvPicPr>
                        </pic:nvPicPr>
                        <pic:blipFill>
                          <a:blip r:embed="rId40"/>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Delta smelt distribution for WY 2026</w:t>
            </w:r>
          </w:p>
          <w:bookmarkEnd w:id="43"/>
        </w:tc>
      </w:tr>
    </w:tbl>
    <w:tbl>
      <w:tblPr>
        <w:tblStyle w:val="Table"/>
        <w:tblW w:type="pct" w:w="5000"/>
        <w:tblLayout w:type="fixed"/>
        <w:tblLook w:firstRow="0" w:lastRow="0" w:firstColumn="0" w:lastColumn="0" w:noHBand="0" w:noVBand="0" w:val="0000"/>
      </w:tblPr>
      <w:tblGrid>
        <w:gridCol w:w="7920"/>
      </w:tblGrid>
      <w:tr>
        <w:tc>
          <w:tcPr/>
          <w:bookmarkStart w:id="44" w:name="tbl-catch-all"/>
          <w:p>
            <w:pPr>
              <w:jc w:val="center"/>
            </w:pPr>
            <w:pPr>
              <w:jc w:val="left"/>
              <w:spacing w:before="200"/>
              <w:pStyle w:val="ImageCaption"/>
            </w:pPr>
            <w:r>
              <w:t xml:space="preserve">Table 3: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44"/>
          <w:p/>
        </w:tc>
      </w:tr>
    </w:tbl>
    <w:tbl>
      <w:tblPr>
        <w:tblStyle w:val="Table"/>
        <w:tblW w:type="pct" w:w="5000"/>
        <w:tblLayout w:type="fixed"/>
        <w:tblLook w:firstRow="0" w:lastRow="0" w:firstColumn="0" w:lastColumn="0" w:noHBand="0" w:noVBand="0" w:val="0000"/>
      </w:tblPr>
      <w:tblGrid>
        <w:gridCol w:w="7920"/>
      </w:tblGrid>
      <w:tr>
        <w:tc>
          <w:tcPr/>
          <w:bookmarkStart w:id="48" w:name="fig-ds-catch"/>
          <w:p>
            <w:pPr>
              <w:pStyle w:val="Compact"/>
              <w:jc w:val="center"/>
            </w:pPr>
            <w:r>
              <w:drawing>
                <wp:inline>
                  <wp:extent cx="4578104" cy="3662483"/>
                  <wp:effectExtent b="0" l="0" r="0" t="0"/>
                  <wp:docPr descr="" title="" id="46" name="Picture"/>
                  <a:graphic>
                    <a:graphicData uri="http://schemas.openxmlformats.org/drawingml/2006/picture">
                      <pic:pic>
                        <pic:nvPicPr>
                          <pic:cNvPr descr="combined_delta_smelt_files/figure-docx/fig-ds-catch-1.png" id="47" name="Picture"/>
                          <pic:cNvPicPr>
                            <a:picLocks noChangeArrowheads="1" noChangeAspect="1"/>
                          </pic:cNvPicPr>
                        </pic:nvPicPr>
                        <pic:blipFill>
                          <a:blip r:embed="rId45"/>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Time series of Delta smelt catch, WY 2026</w:t>
            </w:r>
          </w:p>
          <w:bookmarkEnd w:id="48"/>
        </w:tc>
      </w:tr>
    </w:tbl>
    <w:bookmarkEnd w:id="49"/>
    <w:bookmarkStart w:id="51" w:name="environmental"/>
    <w:p>
      <w:pPr>
        <w:pStyle w:val="Heading4"/>
      </w:pPr>
      <w:r>
        <w:t xml:space="preserve">2.2.2 Environmental</w:t>
      </w:r>
    </w:p>
    <w:bookmarkStart w:id="50" w:name="first-flush"/>
    <w:p>
      <w:pPr>
        <w:pStyle w:val="Heading5"/>
      </w:pPr>
      <w:r>
        <w:t xml:space="preserve">2.2.2.1 First Flush</w:t>
      </w:r>
    </w:p>
    <w:p>
      <w:pPr>
        <w:pStyle w:val="Compact"/>
        <w:numPr>
          <w:ilvl w:val="0"/>
          <w:numId w:val="1005"/>
        </w:numPr>
      </w:pPr>
      <w:r>
        <w:t xml:space="preserve">Not relevant</w:t>
      </w:r>
    </w:p>
    <w:bookmarkEnd w:id="50"/>
    <w:bookmarkEnd w:id="51"/>
    <w:bookmarkStart w:id="58" w:name="real-time-assessment-thresholds"/>
    <w:p>
      <w:pPr>
        <w:pStyle w:val="Heading4"/>
      </w:pPr>
      <w:r>
        <w:t xml:space="preserve">2.2.3 Real-time Assessment Thresholds</w:t>
      </w:r>
    </w:p>
    <w:bookmarkStart w:id="56" w:name="adult-delta-smelt"/>
    <w:p>
      <w:pPr>
        <w:pStyle w:val="Heading5"/>
      </w:pPr>
      <w:r>
        <w:t xml:space="preserve">2.2.3.1 Adult Delta smelt</w:t>
      </w:r>
    </w:p>
    <w:p>
      <w:pPr>
        <w:pStyle w:val="FirstParagraph"/>
      </w:pPr>
      <w:r>
        <w:rPr>
          <w:b/>
          <w:bCs/>
        </w:rPr>
        <w:t xml:space="preserve">Threshold</w:t>
      </w:r>
      <w:r>
        <w:t xml:space="preserve">: If daily average JPF &lt; 0 AND turbidity</w:t>
      </w:r>
      <w:r>
        <w:t xml:space="preserve"> </w:t>
      </w:r>
      <m:oMath>
        <m:r>
          <m:rPr>
            <m:sty m:val="p"/>
          </m:rPr>
          <m:t>≥</m:t>
        </m:r>
      </m:oMath>
      <w:r>
        <w:t xml:space="preserve"> </w:t>
      </w:r>
      <w:r>
        <w:t xml:space="preserve">12 FNU at OBI, HOL and OSJ</w:t>
      </w:r>
    </w:p>
    <w:p>
      <w:pPr>
        <w:pStyle w:val="Compact"/>
        <w:numPr>
          <w:ilvl w:val="0"/>
          <w:numId w:val="1006"/>
        </w:numPr>
      </w:pPr>
      <w:r>
        <w:rPr>
          <w:b/>
          <w:bCs/>
        </w:rPr>
        <w:t xml:space="preserve">JPF</w:t>
      </w:r>
      <w:r>
        <w:t xml:space="preserve">: 8,082 cfs as of Jan 15, 2026</w:t>
      </w:r>
    </w:p>
    <w:p>
      <w:pPr>
        <w:pStyle w:val="Compact"/>
        <w:numPr>
          <w:ilvl w:val="0"/>
          <w:numId w:val="1006"/>
        </w:numPr>
      </w:pPr>
      <w:r>
        <w:rPr>
          <w:b/>
          <w:bCs/>
        </w:rPr>
        <w:t xml:space="preserve">OBI Turbidity</w:t>
      </w:r>
      <w:r>
        <w:t xml:space="preserve">: 7.07, 7.02, 6.85 FNU as of Jan 19, 2026</w:t>
      </w:r>
    </w:p>
    <w:p>
      <w:pPr>
        <w:pStyle w:val="Compact"/>
        <w:numPr>
          <w:ilvl w:val="0"/>
          <w:numId w:val="1006"/>
        </w:numPr>
      </w:pPr>
      <w:r>
        <w:rPr>
          <w:b/>
          <w:bCs/>
        </w:rPr>
        <w:t xml:space="preserve">HOL Turbidity</w:t>
      </w:r>
      <w:r>
        <w:t xml:space="preserve">: 6.85, 6.65, 6.44 FNU as of Jan 19, 2026</w:t>
      </w:r>
    </w:p>
    <w:p>
      <w:pPr>
        <w:pStyle w:val="Compact"/>
        <w:numPr>
          <w:ilvl w:val="0"/>
          <w:numId w:val="1006"/>
        </w:numPr>
      </w:pPr>
      <w:r>
        <w:rPr>
          <w:b/>
          <w:bCs/>
        </w:rPr>
        <w:t xml:space="preserve">OSJ Turbidity</w:t>
      </w:r>
      <w:r>
        <w:t xml:space="preserve">: 13.86, 13.12, 12.06 FNU as of Jan 19, 2026</w:t>
      </w:r>
    </w:p>
    <w:p>
      <w:pPr>
        <w:pStyle w:val="FirstParagraph"/>
      </w:pPr>
      <w:r>
        <w:rPr>
          <w:b/>
          <w:bCs/>
        </w:rPr>
        <w:t xml:space="preserve">Offramp Adult Protections</w:t>
      </w:r>
      <w:r>
        <w:t xml:space="preserve"> </w:t>
      </w:r>
      <w:r>
        <w:t xml:space="preserve">when RVB or SJJ &gt; 12</w:t>
      </w:r>
      <m:oMath>
        <m:sSup>
          <m:e>
            <m:r>
              <m:t>​</m:t>
            </m:r>
          </m:e>
          <m:sup>
            <m:r>
              <m:rPr>
                <m:sty m:val="p"/>
              </m:rPr>
              <m:t>∘</m:t>
            </m:r>
          </m:sup>
        </m:sSup>
      </m:oMath>
      <w:r>
        <w:t xml:space="preserve">C</w:t>
      </w:r>
      <w:r>
        <w:t xml:space="preserve"> </w:t>
      </w:r>
    </w:p>
    <w:p>
      <w:pPr>
        <w:pStyle w:val="Compact"/>
        <w:numPr>
          <w:ilvl w:val="0"/>
          <w:numId w:val="1007"/>
        </w:numPr>
      </w:pPr>
      <w:r>
        <w:rPr>
          <w:b/>
          <w:bCs/>
        </w:rPr>
        <w:t xml:space="preserve">RVB temperature (3-day average)</w:t>
      </w:r>
      <w:r>
        <w:t xml:space="preserve">: 10.37</w:t>
      </w:r>
      <m:oMath>
        <m:sSup>
          <m:e>
            <m:r>
              <m:t>​</m:t>
            </m:r>
          </m:e>
          <m:sup>
            <m:r>
              <m:rPr>
                <m:sty m:val="p"/>
              </m:rPr>
              <m:t>∘</m:t>
            </m:r>
          </m:sup>
        </m:sSup>
      </m:oMath>
      <w:r>
        <w:t xml:space="preserve">C as of Jan 19, 2026</w:t>
      </w:r>
    </w:p>
    <w:p>
      <w:pPr>
        <w:pStyle w:val="FirstParagraph"/>
      </w:pPr>
      <w:r>
        <w:drawing>
          <wp:inline>
            <wp:extent cx="5052060" cy="3368040"/>
            <wp:effectExtent b="0" l="0" r="0" t="0"/>
            <wp:docPr descr="" title="" id="53" name="Picture"/>
            <a:graphic>
              <a:graphicData uri="http://schemas.openxmlformats.org/drawingml/2006/picture">
                <pic:pic>
                  <pic:nvPicPr>
                    <pic:cNvPr descr="smelt_figures/freeport_turbidity.png" id="54" name="Picture"/>
                    <pic:cNvPicPr>
                      <a:picLocks noChangeArrowheads="1" noChangeAspect="1"/>
                    </pic:cNvPicPr>
                  </pic:nvPicPr>
                  <pic:blipFill>
                    <a:blip r:embed="rId52"/>
                    <a:stretch>
                      <a:fillRect/>
                    </a:stretch>
                  </pic:blipFill>
                  <pic:spPr bwMode="auto">
                    <a:xfrm>
                      <a:off x="0" y="0"/>
                      <a:ext cx="5052060" cy="3368040"/>
                    </a:xfrm>
                    <a:prstGeom prst="rect">
                      <a:avLst/>
                    </a:prstGeom>
                    <a:noFill/>
                    <a:ln w="9525">
                      <a:noFill/>
                      <a:headEnd/>
                      <a:tailEnd/>
                    </a:ln>
                  </pic:spPr>
                </pic:pic>
              </a:graphicData>
            </a:graphic>
          </wp:inline>
        </w:drawing>
      </w:r>
    </w:p>
    <w:p>
      <w:pPr>
        <w:pStyle w:val="Compact"/>
        <w:numPr>
          <w:ilvl w:val="0"/>
          <w:numId w:val="1008"/>
        </w:numPr>
      </w:pPr>
      <w:r>
        <w:t xml:space="preserve">See</w:t>
      </w:r>
      <w:r>
        <w:t xml:space="preserve"> </w:t>
      </w:r>
      <w:hyperlink r:id="rId55">
        <w:r>
          <w:rPr>
            <w:rStyle w:val="Hyperlink"/>
          </w:rPr>
          <w:t xml:space="preserve">Bay-Delta Live</w:t>
        </w:r>
      </w:hyperlink>
      <w:r>
        <w:t xml:space="preserve"> </w:t>
      </w:r>
      <w:r>
        <w:t xml:space="preserve">for recent Delta-wide turbidity conditions.</w:t>
      </w:r>
      <w:r>
        <w:t xml:space="preserve"> </w:t>
      </w:r>
    </w:p>
    <w:bookmarkEnd w:id="56"/>
    <w:bookmarkStart w:id="57" w:name="larvaljuvenile-delta-smelt"/>
    <w:p>
      <w:pPr>
        <w:pStyle w:val="Heading5"/>
      </w:pPr>
      <w:r>
        <w:t xml:space="preserve">2.2.3.2 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09"/>
        </w:numPr>
      </w:pPr>
      <w:r>
        <w:rPr>
          <w:b/>
          <w:bCs/>
        </w:rPr>
        <w:t xml:space="preserve">12-station South Delta Turbidity</w:t>
      </w:r>
      <w:r>
        <w:t xml:space="preserve">: The most recent average turbidity was 12.5 FNU as of Jan 13, 2025</w:t>
      </w:r>
    </w:p>
    <w:bookmarkEnd w:id="57"/>
    <w:bookmarkEnd w:id="58"/>
    <w:bookmarkStart w:id="60" w:name="evaluation"/>
    <w:p>
      <w:pPr>
        <w:pStyle w:val="Heading4"/>
      </w:pPr>
      <w:r>
        <w:t xml:space="preserve">2.2.4 Evaluation</w:t>
      </w:r>
    </w:p>
    <w:p>
      <w:pPr>
        <w:pStyle w:val="FirstParagraph"/>
      </w:pPr>
      <w:r>
        <w:rPr>
          <w:b/>
          <w:bCs/>
        </w:rPr>
        <w:t xml:space="preserve">Delta smelt:</w:t>
      </w:r>
    </w:p>
    <w:p>
      <w:pPr>
        <w:numPr>
          <w:ilvl w:val="0"/>
          <w:numId w:val="1010"/>
        </w:numPr>
      </w:pPr>
      <w:r>
        <w:t xml:space="preserve">After the start of entrainment management, is JPF &lt; 0 and is daily average turbidity</w:t>
      </w:r>
      <w:r>
        <w:t xml:space="preserve"> </w:t>
      </w:r>
      <m:oMath>
        <m:r>
          <m:rPr>
            <m:sty m:val="p"/>
          </m:rPr>
          <m:t>≥</m:t>
        </m:r>
      </m:oMath>
      <w:r>
        <w:t xml:space="preserve"> </w:t>
      </w:r>
      <w:r>
        <w:t xml:space="preserve">12 FNU in the OMR corridor (stations OBI, HOL, and OSJ)?</w:t>
      </w:r>
    </w:p>
    <w:p>
      <w:pPr>
        <w:numPr>
          <w:ilvl w:val="0"/>
          <w:numId w:val="1000"/>
        </w:numPr>
      </w:pPr>
      <w:r>
        <w:t xml:space="preserve">No, these conditions will not be met this week.</w:t>
      </w:r>
    </w:p>
    <w:p>
      <w:pPr>
        <w:numPr>
          <w:ilvl w:val="0"/>
          <w:numId w:val="1010"/>
        </w:numPr>
      </w:pPr>
      <w:r>
        <w:t xml:space="preserve">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0"/>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59">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Because first flush conditions were met on December 23, 2025, spawning may begin occurring during the</w:t>
      </w:r>
      <w:r>
        <w:t xml:space="preserve"> </w:t>
      </w:r>
      <w:r>
        <w:t xml:space="preserve">current assessment week, consistent with the typical one- to four-week response window following increased</w:t>
      </w:r>
      <w:r>
        <w:t xml:space="preserve"> </w:t>
      </w:r>
      <w:r>
        <w:t xml:space="preserve">flow and turbidity.</w:t>
      </w:r>
    </w:p>
    <w:p>
      <w:pPr>
        <w:numPr>
          <w:ilvl w:val="0"/>
          <w:numId w:val="1010"/>
        </w:numPr>
      </w:pPr>
      <w:r>
        <w:t xml:space="preserve">After the onset of spawning, have the following conditions occurred: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begin during the current assessment period, JPF is above 0 cfs;</w:t>
      </w:r>
      <w:r>
        <w:t xml:space="preserve"> </w:t>
      </w:r>
      <w:r>
        <w:t xml:space="preserve">therefore, the conditions required to evaluate larval and juvenile Delta smelt entrainment management are not met.</w:t>
      </w:r>
    </w:p>
    <w:bookmarkEnd w:id="60"/>
    <w:bookmarkEnd w:id="61"/>
    <w:bookmarkStart w:id="78" w:name="longfin-smelt"/>
    <w:p>
      <w:pPr>
        <w:pStyle w:val="Heading3"/>
      </w:pPr>
      <w:r>
        <w:t xml:space="preserve">2.3 Longfin smelt</w:t>
      </w:r>
    </w:p>
    <w:bookmarkStart w:id="72" w:name="biological-1"/>
    <w:p>
      <w:pPr>
        <w:pStyle w:val="Heading4"/>
      </w:pPr>
      <w:r>
        <w:t xml:space="preserve">2.3.1 Biological</w:t>
      </w:r>
    </w:p>
    <w:p>
      <w:pPr>
        <w:numPr>
          <w:ilvl w:val="0"/>
          <w:numId w:val="1011"/>
        </w:numPr>
      </w:pPr>
      <w:r>
        <w:rPr>
          <w:b/>
          <w:bCs/>
        </w:rPr>
        <w:t xml:space="preserve">Longfin smelt life stages:</w:t>
      </w:r>
      <w:r>
        <w:t xml:space="preserve"> </w:t>
      </w:r>
      <w:r>
        <w:t xml:space="preserve">Juvenile, Adult, Larva</w:t>
      </w:r>
    </w:p>
    <w:p>
      <w:pPr>
        <w:numPr>
          <w:ilvl w:val="0"/>
          <w:numId w:val="1011"/>
        </w:numPr>
      </w:pPr>
      <w:r>
        <w:rPr>
          <w:b/>
          <w:bCs/>
        </w:rPr>
        <w:t xml:space="preserve">Longfin smelt count:</w:t>
      </w:r>
      <w:r>
        <w:t xml:space="preserve"> </w:t>
      </w:r>
      <w:r>
        <w:t xml:space="preserve">297 adult, 461 juvenile, and 122 larval longfin smelt have been detected this water year. See</w:t>
      </w:r>
      <w:r>
        <w:t xml:space="preserve"> </w:t>
      </w:r>
      <w:hyperlink w:anchor="tbl-lfs-recent-catch">
        <w:r>
          <w:rPr>
            <w:rStyle w:val="Hyperlink"/>
          </w:rPr>
          <w:t xml:space="preserve">Table 4</w:t>
        </w:r>
      </w:hyperlink>
      <w:r>
        <w:t xml:space="preserve"> </w:t>
      </w:r>
      <w:r>
        <w:t xml:space="preserve">for recent detections,</w:t>
      </w:r>
      <w:r>
        <w:t xml:space="preserve"> </w:t>
      </w:r>
      <w:hyperlink w:anchor="fig-lfs-map">
        <w:r>
          <w:rPr>
            <w:rStyle w:val="Hyperlink"/>
          </w:rPr>
          <w:t xml:space="preserve">Figure 5</w:t>
        </w:r>
      </w:hyperlink>
      <w:r>
        <w:t xml:space="preserve"> </w:t>
      </w:r>
      <w:r>
        <w:t xml:space="preserve">for spatial distribution, and</w:t>
      </w:r>
      <w:r>
        <w:t xml:space="preserve"> </w:t>
      </w:r>
      <w:hyperlink w:anchor="fig-lfs-catch">
        <w:r>
          <w:rPr>
            <w:rStyle w:val="Hyperlink"/>
          </w:rPr>
          <w:t xml:space="preserve">Figure 6</w:t>
        </w:r>
      </w:hyperlink>
      <w:r>
        <w:t xml:space="preserve"> </w:t>
      </w:r>
      <w:r>
        <w:t xml:space="preserve">for temporal distribution.</w:t>
      </w:r>
    </w:p>
    <w:p>
      <w:pPr>
        <w:numPr>
          <w:ilvl w:val="0"/>
          <w:numId w:val="1011"/>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62" w:name="tbl-lfs-recent-catch"/>
          <w:p>
            <w:pPr>
              <w:jc w:val="center"/>
            </w:pPr>
            <w:pPr>
              <w:jc w:val="left"/>
              <w:spacing w:before="200"/>
              <w:pStyle w:val="ImageCaption"/>
            </w:pPr>
            <w:r>
              <w:t xml:space="preserve">Table 4: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19</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5</w:t>
                  </w:r>
                </w:p>
              </w:tc>
            </w:tr>
            <w:tr>
              <w:tc>
                <w:tcPr/>
                <w:p>
                  <w:pPr>
                    <w:pStyle w:val="Compact"/>
                    <w:jc w:val="left"/>
                    <w:jc w:val="center"/>
                  </w:pPr>
                  <w:r>
                    <w:t xml:space="preserve">EDSM</w:t>
                  </w:r>
                </w:p>
              </w:tc>
              <w:tc>
                <w:tcPr/>
                <w:p>
                  <w:pPr>
                    <w:pStyle w:val="Compact"/>
                    <w:jc w:val="left"/>
                    <w:jc w:val="center"/>
                  </w:pPr>
                  <w:r>
                    <w:t xml:space="preserve">2026-01-13</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2026-01-20</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2026-01-20</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2026-01-12</w:t>
                  </w:r>
                </w:p>
              </w:tc>
              <w:tc>
                <w:tcPr/>
                <w:p>
                  <w:pPr>
                    <w:pStyle w:val="Compact"/>
                    <w:jc w:val="left"/>
                    <w:jc w:val="center"/>
                  </w:pPr>
                  <w:r>
                    <w:t xml:space="preserve">South</w:t>
                  </w:r>
                </w:p>
              </w:tc>
              <w:tc>
                <w:tcPr/>
                <w:p>
                  <w:pPr>
                    <w:pStyle w:val="Compact"/>
                    <w:jc w:val="left"/>
                    <w:jc w:val="center"/>
                  </w:pPr>
                  <w:r>
                    <w:t xml:space="preserve">Lower San Joaquin</w:t>
                  </w:r>
                </w:p>
              </w:tc>
              <w:tc>
                <w:tcPr/>
                <w:p>
                  <w:pPr>
                    <w:pStyle w:val="Compact"/>
                    <w:jc w:val="left"/>
                    <w:jc w:val="center"/>
                  </w:pPr>
                  <w:r>
                    <w:t xml:space="preserve">Larva</w:t>
                  </w:r>
                </w:p>
              </w:tc>
              <w:tc>
                <w:tcPr/>
                <w:p>
                  <w:pPr>
                    <w:pStyle w:val="Compact"/>
                    <w:jc w:val="right"/>
                    <w:jc w:val="center"/>
                  </w:pPr>
                  <w:r>
                    <w:t xml:space="preserve">2</w:t>
                  </w:r>
                </w:p>
              </w:tc>
            </w:tr>
          </w:tbl>
          <w:bookmarkEnd w:id="62"/>
          <w:p/>
        </w:tc>
      </w:tr>
    </w:tbl>
    <w:tbl>
      <w:tblPr>
        <w:tblStyle w:val="Table"/>
        <w:tblW w:type="pct" w:w="5000"/>
        <w:tblLayout w:type="fixed"/>
        <w:tblLook w:firstRow="0" w:lastRow="0" w:firstColumn="0" w:lastColumn="0" w:noHBand="0" w:noVBand="0" w:val="0000"/>
      </w:tblPr>
      <w:tblGrid>
        <w:gridCol w:w="7920"/>
      </w:tblGrid>
      <w:tr>
        <w:tc>
          <w:tcPr/>
          <w:bookmarkStart w:id="66" w:name="fig-lfs-map"/>
          <w:p>
            <w:pPr>
              <w:pStyle w:val="Compact"/>
              <w:jc w:val="center"/>
            </w:pPr>
            <w:r>
              <w:drawing>
                <wp:inline>
                  <wp:extent cx="5943600" cy="5200650"/>
                  <wp:effectExtent b="0" l="0" r="0" t="0"/>
                  <wp:docPr descr="" title="" id="64" name="Picture"/>
                  <a:graphic>
                    <a:graphicData uri="http://schemas.openxmlformats.org/drawingml/2006/picture">
                      <pic:pic>
                        <pic:nvPicPr>
                          <pic:cNvPr descr="combined_delta_smelt_files/figure-docx/fig-lfs-map-1.png" id="65" name="Picture"/>
                          <pic:cNvPicPr>
                            <a:picLocks noChangeArrowheads="1" noChangeAspect="1"/>
                          </pic:cNvPicPr>
                        </pic:nvPicPr>
                        <pic:blipFill>
                          <a:blip r:embed="rId63"/>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Longfin Smelt Distribution for WY 2026</w:t>
            </w:r>
          </w:p>
          <w:bookmarkEnd w:id="66"/>
        </w:tc>
      </w:tr>
    </w:tbl>
    <w:tbl>
      <w:tblPr>
        <w:tblStyle w:val="Table"/>
        <w:tblW w:type="pct" w:w="5000"/>
        <w:tblLayout w:type="fixed"/>
        <w:tblLook w:firstRow="0" w:lastRow="0" w:firstColumn="0" w:lastColumn="0" w:noHBand="0" w:noVBand="0" w:val="0000"/>
      </w:tblPr>
      <w:tblGrid>
        <w:gridCol w:w="7920"/>
      </w:tblGrid>
      <w:tr>
        <w:tc>
          <w:tcPr/>
          <w:bookmarkStart w:id="67" w:name="tbl-lfs-catch-all"/>
          <w:p>
            <w:pPr>
              <w:jc w:val="center"/>
            </w:pPr>
            <w:pPr>
              <w:jc w:val="left"/>
              <w:spacing w:before="200"/>
              <w:pStyle w:val="ImageCaption"/>
            </w:pPr>
            <w:r>
              <w:t xml:space="preserve">Table 5: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28</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80</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82</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2</w:t>
                  </w:r>
                </w:p>
              </w:tc>
            </w:tr>
            <w:tr>
              <w:tc>
                <w:tcPr/>
                <w:p>
                  <w:pPr>
                    <w:pStyle w:val="Compact"/>
                    <w:jc w:val="left"/>
                    <w:jc w:val="center"/>
                  </w:pPr>
                  <w:r>
                    <w:t xml:space="preserve">sls</w:t>
                  </w:r>
                </w:p>
              </w:tc>
              <w:tc>
                <w:tcPr/>
                <w:p>
                  <w:pPr>
                    <w:pStyle w:val="Compact"/>
                    <w:jc w:val="left"/>
                    <w:jc w:val="center"/>
                  </w:pPr>
                  <w:r>
                    <w:t xml:space="preserve">South</w:t>
                  </w:r>
                </w:p>
              </w:tc>
              <w:tc>
                <w:tcPr/>
                <w:p>
                  <w:pPr>
                    <w:pStyle w:val="Compact"/>
                    <w:jc w:val="left"/>
                    <w:jc w:val="center"/>
                  </w:pPr>
                  <w:r>
                    <w:t xml:space="preserve">Larva</w:t>
                  </w:r>
                </w:p>
              </w:tc>
              <w:tc>
                <w:tcPr/>
                <w:p>
                  <w:pPr>
                    <w:pStyle w:val="Compact"/>
                    <w:jc w:val="right"/>
                    <w:jc w:val="center"/>
                  </w:pPr>
                  <w:r>
                    <w:t xml:space="preserve">2</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36</w:t>
                  </w:r>
                </w:p>
              </w:tc>
            </w:tr>
          </w:tbl>
          <w:bookmarkEnd w:id="67"/>
          <w:p/>
        </w:tc>
      </w:tr>
    </w:tbl>
    <w:tbl>
      <w:tblPr>
        <w:tblStyle w:val="Table"/>
        <w:tblW w:type="pct" w:w="5000"/>
        <w:tblLayout w:type="fixed"/>
        <w:tblLook w:firstRow="0" w:lastRow="0" w:firstColumn="0" w:lastColumn="0" w:noHBand="0" w:noVBand="0" w:val="0000"/>
      </w:tblPr>
      <w:tblGrid>
        <w:gridCol w:w="7920"/>
      </w:tblGrid>
      <w:tr>
        <w:tc>
          <w:tcPr/>
          <w:bookmarkStart w:id="71" w:name="fig-lfs-catch"/>
          <w:p>
            <w:pPr>
              <w:pStyle w:val="Compact"/>
              <w:jc w:val="center"/>
            </w:pPr>
            <w:r>
              <w:drawing>
                <wp:inline>
                  <wp:extent cx="4578104" cy="3662483"/>
                  <wp:effectExtent b="0" l="0" r="0" t="0"/>
                  <wp:docPr descr="" title="" id="69" name="Picture"/>
                  <a:graphic>
                    <a:graphicData uri="http://schemas.openxmlformats.org/drawingml/2006/picture">
                      <pic:pic>
                        <pic:nvPicPr>
                          <pic:cNvPr descr="combined_delta_smelt_files/figure-docx/fig-lfs-catch-1.png" id="70" name="Picture"/>
                          <pic:cNvPicPr>
                            <a:picLocks noChangeArrowheads="1" noChangeAspect="1"/>
                          </pic:cNvPicPr>
                        </pic:nvPicPr>
                        <pic:blipFill>
                          <a:blip r:embed="rId68"/>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6: Time series of longfin smelt catch, WY 2026</w:t>
            </w:r>
          </w:p>
          <w:bookmarkEnd w:id="71"/>
        </w:tc>
      </w:tr>
    </w:tbl>
    <w:bookmarkEnd w:id="72"/>
    <w:bookmarkStart w:id="76" w:name="real-time-assessment-thresholds-1"/>
    <w:p>
      <w:pPr>
        <w:pStyle w:val="Heading4"/>
      </w:pPr>
      <w:r>
        <w:t xml:space="preserve">2.3.2 Real-time Assessment Thresholds</w:t>
      </w:r>
    </w:p>
    <w:bookmarkStart w:id="73" w:name="X20cb4fe57c6f57bc33c1a6af910e71e88796402"/>
    <w:p>
      <w:pPr>
        <w:pStyle w:val="Heading5"/>
      </w:pPr>
      <w:r>
        <w:t xml:space="preserve">2.3.2.1 Start of Entrainment Management (Adult Longfin Smelt)</w:t>
      </w:r>
    </w:p>
    <w:p>
      <w:pPr>
        <w:pStyle w:val="Compact"/>
        <w:numPr>
          <w:ilvl w:val="0"/>
          <w:numId w:val="1012"/>
        </w:numPr>
      </w:pPr>
      <w:r>
        <w:t xml:space="preserve">Not relevant</w:t>
      </w:r>
    </w:p>
    <w:bookmarkEnd w:id="73"/>
    <w:bookmarkStart w:id="74" w:name="adult-longfin-smelt"/>
    <w:p>
      <w:pPr>
        <w:pStyle w:val="Heading5"/>
      </w:pPr>
      <w:r>
        <w:t xml:space="preserve">2.3.2.2 Adult longfin smelt</w:t>
      </w:r>
    </w:p>
    <w:p>
      <w:pPr>
        <w:pStyle w:val="Compact"/>
        <w:numPr>
          <w:ilvl w:val="0"/>
          <w:numId w:val="1013"/>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4"/>
        </w:numPr>
      </w:pPr>
      <w:r>
        <w:t xml:space="preserve">Daily average JPF: 8,082 cfs as of Jan 15, 2026</w:t>
      </w:r>
    </w:p>
    <w:p>
      <w:pPr>
        <w:pStyle w:val="Compact"/>
        <w:numPr>
          <w:ilvl w:val="1"/>
          <w:numId w:val="1014"/>
        </w:numPr>
      </w:pPr>
      <w:r>
        <w:t xml:space="preserve">Adult abundance (Age 1+ LFS index): 2479.2 fish</w:t>
      </w:r>
    </w:p>
    <w:p>
      <w:pPr>
        <w:pStyle w:val="Compact"/>
        <w:numPr>
          <w:ilvl w:val="2"/>
          <w:numId w:val="1015"/>
        </w:numPr>
      </w:pPr>
      <w:r>
        <w:t xml:space="preserve">5% of abundance + 1: 125.0</w:t>
      </w:r>
    </w:p>
    <w:p>
      <w:pPr>
        <w:pStyle w:val="Compact"/>
        <w:numPr>
          <w:ilvl w:val="1"/>
          <w:numId w:val="1014"/>
        </w:numPr>
      </w:pPr>
      <w:r>
        <w:t xml:space="preserve">Water year total adult longfin smelt salvage = 0</w:t>
      </w:r>
    </w:p>
    <w:bookmarkEnd w:id="74"/>
    <w:bookmarkStart w:id="75" w:name="larvaljuvenile-longfin-smelt"/>
    <w:p>
      <w:pPr>
        <w:pStyle w:val="Heading5"/>
      </w:pPr>
      <w:r>
        <w:t xml:space="preserve">2.3.2.3 Larval/juvenile longfin smelt</w:t>
      </w:r>
    </w:p>
    <w:p>
      <w:pPr>
        <w:pStyle w:val="Compact"/>
        <w:numPr>
          <w:ilvl w:val="0"/>
          <w:numId w:val="1016"/>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7"/>
        </w:numPr>
      </w:pPr>
      <w:r>
        <w:t xml:space="preserve">Daily average JPF: 8,082 cfs as of Jan 15, 2026</w:t>
      </w:r>
    </w:p>
    <w:bookmarkEnd w:id="75"/>
    <w:bookmarkEnd w:id="76"/>
    <w:bookmarkStart w:id="77" w:name="evaluation-1"/>
    <w:p>
      <w:pPr>
        <w:pStyle w:val="Heading4"/>
      </w:pPr>
      <w:r>
        <w:t xml:space="preserve">2.3.3 Evaluation</w:t>
      </w:r>
    </w:p>
    <w:p>
      <w:pPr>
        <w:pStyle w:val="FirstParagraph"/>
      </w:pPr>
      <w:r>
        <w:rPr>
          <w:b/>
          <w:bCs/>
        </w:rPr>
        <w:t xml:space="preserve">Longfin smelt:</w:t>
      </w:r>
    </w:p>
    <w:p>
      <w:pPr>
        <w:numPr>
          <w:ilvl w:val="0"/>
          <w:numId w:val="1018"/>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no adult longfin smelt have been detected in salvage.</w:t>
      </w:r>
    </w:p>
    <w:p>
      <w:pPr>
        <w:numPr>
          <w:ilvl w:val="0"/>
          <w:numId w:val="1018"/>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&lt; 0 cfs. ZOI modeling shows moderate change in the hydrodynamic footprint</w:t>
      </w:r>
      <w:r>
        <w:t xml:space="preserve"> </w:t>
      </w:r>
      <w:r>
        <w:t xml:space="preserve">between OMRI scenarios, but no change between current and forecasted conditions.</w:t>
      </w:r>
    </w:p>
    <w:p>
      <w:pPr>
        <w:numPr>
          <w:ilvl w:val="0"/>
          <w:numId w:val="1018"/>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77"/>
    <w:bookmarkEnd w:id="78"/>
    <w:bookmarkStart w:id="79" w:name="end-of-smelt-entrainment-management"/>
    <w:p>
      <w:pPr>
        <w:pStyle w:val="Heading3"/>
      </w:pPr>
      <w:r>
        <w:t xml:space="preserve">2.4 End of smelt Entrainment Management</w:t>
      </w:r>
    </w:p>
    <w:p>
      <w:pPr>
        <w:pStyle w:val="Compact"/>
        <w:numPr>
          <w:ilvl w:val="0"/>
          <w:numId w:val="1019"/>
        </w:numPr>
      </w:pPr>
      <w:r>
        <w:t xml:space="preserve">Not relevant</w:t>
      </w:r>
    </w:p>
    <w:bookmarkEnd w:id="79"/>
    <w:bookmarkStart w:id="80" w:name="references"/>
    <w:p>
      <w:pPr>
        <w:pStyle w:val="Heading3"/>
      </w:pPr>
      <w:r>
        <w:t xml:space="preserve">2.5 References</w:t>
      </w:r>
    </w:p>
    <w:p>
      <w:pPr>
        <w:pStyle w:val="FirstParagraph"/>
      </w:pPr>
      <w:r>
        <w:t xml:space="preserve">Damon, L. J., S. B. Slater, R. D. Baxter, and R. W. Fujimura. 2016.</w:t>
      </w:r>
      <w:r>
        <w:t xml:space="preserve"> </w:t>
      </w:r>
      <w:r>
        <w:t xml:space="preserve">Fecundity and reproductive potential of wild female Delta smelt in the upper San</w:t>
      </w:r>
      <w:r>
        <w:t xml:space="preserve"> </w:t>
      </w:r>
      <w:r>
        <w:t xml:space="preserve">Francisco Estuary, California. California Fish and Game 102(4):188–210.</w:t>
      </w:r>
    </w:p>
    <w:p>
      <w:pPr>
        <w:pStyle w:val="BodyText"/>
      </w:pPr>
      <w:r>
        <w:t xml:space="preserve">Grimaldo, L. F., T. Sommer, N. Van Ark, G. Jones, E. Holland, P. B. Moyle,</w:t>
      </w:r>
      <w:r>
        <w:t xml:space="preserve"> </w:t>
      </w:r>
      <w:r>
        <w:t xml:space="preserve">B. Herbold &amp; P. Smith (2009) Factors Affecting Fish Entrainment into Massive Water</w:t>
      </w:r>
      <w:r>
        <w:t xml:space="preserve"> </w:t>
      </w:r>
      <w:r>
        <w:t xml:space="preserve">Diversions in a Tidal Freshwater Estuary: Can Fish Losses be Managed? North</w:t>
      </w:r>
      <w:r>
        <w:t xml:space="preserve"> </w:t>
      </w:r>
      <w:r>
        <w:t xml:space="preserve">American Journal of Fisheries Management, 29:5, 1253-1270, DOI: 10.1577/M08-062.1</w:t>
      </w:r>
    </w:p>
    <w:p>
      <w:pPr>
        <w:pStyle w:val="BodyText"/>
      </w:pPr>
      <w:r>
        <w:t xml:space="preserve">Sommer, T., F. Mejia, M. Nobriga, and L. Grimaldo. 2011. The Spawning Migration</w:t>
      </w:r>
      <w:r>
        <w:t xml:space="preserve"> </w:t>
      </w:r>
      <w:r>
        <w:t xml:space="preserve">of Delta Smelt in the Upper San Francisco Estuary. San Francisco Estuary and Watershed Science 9(2).</w:t>
      </w:r>
    </w:p>
    <w:bookmarkEnd w:id="80"/>
    <w:bookmarkEnd w:id="81"/>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45" Target="media/rId45.png" /><Relationship Type="http://schemas.openxmlformats.org/officeDocument/2006/relationships/image" Id="rId40" Target="media/rId40.png" /><Relationship Type="http://schemas.openxmlformats.org/officeDocument/2006/relationships/image" Id="rId68" Target="media/rId68.png" /><Relationship Type="http://schemas.openxmlformats.org/officeDocument/2006/relationships/image" Id="rId63" Target="media/rId63.png" /><Relationship Type="http://schemas.openxmlformats.org/officeDocument/2006/relationships/image" Id="rId22" Target="media/rId22.png" /><Relationship Type="http://schemas.openxmlformats.org/officeDocument/2006/relationships/image" Id="rId30" Target="media/rId30.png" /><Relationship Type="http://schemas.openxmlformats.org/officeDocument/2006/relationships/image" Id="rId52" Target="media/rId52.png" /><Relationship Type="http://schemas.openxmlformats.org/officeDocument/2006/relationships/hyperlink" Id="rId59" Target="https://github.com/Delta-Stewardship-Council/deltafish" TargetMode="External" /><Relationship Type="http://schemas.openxmlformats.org/officeDocument/2006/relationships/hyperlink" Id="rId55" Target="https://www.baydeltalive.com/current_conditions/constituent-tracker-turbidity" TargetMode="External" /><Relationship Type="http://schemas.openxmlformats.org/officeDocument/2006/relationships/hyperlink" Id="rId28" Target="https://www.cbr.washington.edu/sacramento/data/query_river_table.html" TargetMode="External" /><Relationship Type="http://schemas.openxmlformats.org/officeDocument/2006/relationships/hyperlink" Id="rId38" Target="https://www.cbr.washington.edu/sacramento/data/query_salvage_hrt.html" TargetMode="External" /><Relationship Type="http://schemas.openxmlformats.org/officeDocument/2006/relationships/hyperlink" Id="rId36" Target="https://www.cbr.washington.edu/sacramento/workgroups/delta_smelt.html" TargetMode="External" /><Relationship Type="http://schemas.openxmlformats.org/officeDocument/2006/relationships/hyperlink" Id="rId29"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59" Target="https://github.com/Delta-Stewardship-Council/deltafish" TargetMode="External" /><Relationship Type="http://schemas.openxmlformats.org/officeDocument/2006/relationships/hyperlink" Id="rId55" Target="https://www.baydeltalive.com/current_conditions/constituent-tracker-turbidity" TargetMode="External" /><Relationship Type="http://schemas.openxmlformats.org/officeDocument/2006/relationships/hyperlink" Id="rId28" Target="https://www.cbr.washington.edu/sacramento/data/query_river_table.html" TargetMode="External" /><Relationship Type="http://schemas.openxmlformats.org/officeDocument/2006/relationships/hyperlink" Id="rId38" Target="https://www.cbr.washington.edu/sacramento/data/query_salvage_hrt.html" TargetMode="External" /><Relationship Type="http://schemas.openxmlformats.org/officeDocument/2006/relationships/hyperlink" Id="rId36" Target="https://www.cbr.washington.edu/sacramento/workgroups/delta_smelt.html" TargetMode="External" /><Relationship Type="http://schemas.openxmlformats.org/officeDocument/2006/relationships/hyperlink" Id="rId29"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Osmerids including Current Delta Hydrologic Conditions</dc:title>
  <dc:creator/>
  <cp:keywords/>
  <dcterms:created xsi:type="dcterms:W3CDTF">2026-01-20T23:07:28Z</dcterms:created>
  <dcterms:modified xsi:type="dcterms:W3CDTF">2026-01-20T23:07:28Z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Final: Tuesday, January 20, 2026 at 3 PM</vt:lpwstr>
  </property>
  <property fmtid="{D5CDD505-2E9C-101B-9397-08002B2CF9AE}" pid="9" name="toc-title">
    <vt:lpwstr>Table of contents</vt:lpwstr>
  </property>
</Properties>
</file>